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656D9DD8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345A1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ηλεκτρικών συσκευών 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και την παροχή υπηρεσίας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μεταφοράς και παράδοσής τους</w:t>
      </w:r>
      <w:bookmarkEnd w:id="0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</w:t>
      </w:r>
      <w:r w:rsidR="009B5633">
        <w:rPr>
          <w:rFonts w:eastAsia="Times New Roman" w:cstheme="minorHAnsi"/>
          <w:b/>
          <w:bCs/>
          <w:bdr w:val="none" w:sz="0" w:space="0" w:color="auto" w:frame="1"/>
          <w:lang w:eastAsia="el-GR"/>
        </w:rPr>
        <w:t>στη Θεσσαλονίκη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D50F18" w:rsidRPr="00D50F18">
        <w:rPr>
          <w:rFonts w:eastAsia="Times New Roman" w:cstheme="minorHAnsi"/>
          <w:b/>
          <w:bCs/>
          <w:bdr w:val="none" w:sz="0" w:space="0" w:color="auto" w:frame="1"/>
          <w:lang w:eastAsia="el-GR"/>
        </w:rPr>
        <w:t>1</w:t>
      </w:r>
      <w:r w:rsidR="009B5633" w:rsidRPr="009B5633">
        <w:rPr>
          <w:rFonts w:eastAsia="Times New Roman" w:cstheme="minorHAnsi"/>
          <w:b/>
          <w:bCs/>
          <w:bdr w:val="none" w:sz="0" w:space="0" w:color="auto" w:frame="1"/>
          <w:lang w:eastAsia="el-GR"/>
        </w:rPr>
        <w:t>7,4</w:t>
      </w:r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00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,00 ευρώ χωρίς ΦΠΑ και </w:t>
      </w:r>
      <w:r w:rsidR="009B5633" w:rsidRPr="009B5633">
        <w:rPr>
          <w:rFonts w:eastAsia="Times New Roman" w:cstheme="minorHAnsi"/>
          <w:b/>
          <w:bCs/>
          <w:bdr w:val="none" w:sz="0" w:space="0" w:color="auto" w:frame="1"/>
          <w:lang w:eastAsia="el-GR"/>
        </w:rPr>
        <w:t>21,576</w:t>
      </w:r>
      <w:r w:rsidR="00414F3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0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7249249F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καταθέτει 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35901880" w14:textId="77777777" w:rsidR="009A269B" w:rsidRDefault="00DF6E83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  <w:r w:rsidR="009A269B" w:rsidRPr="009A269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</w:p>
    <w:p w14:paraId="0F36F081" w14:textId="4F50156A" w:rsidR="00DF6E83" w:rsidRPr="009A269B" w:rsidRDefault="009A269B" w:rsidP="009A269B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</w:t>
      </w:r>
    </w:p>
    <w:p w14:paraId="49B54F1E" w14:textId="77777777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5B58B98A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</w:t>
      </w:r>
      <w:r w:rsidR="009B5633">
        <w:rPr>
          <w:rFonts w:cstheme="minorHAnsi"/>
          <w:lang w:val="el-GR"/>
        </w:rPr>
        <w:t>στη Θεσσαλονίκη</w:t>
      </w:r>
      <w:r w:rsidR="00934447">
        <w:rPr>
          <w:rFonts w:cstheme="minorHAnsi"/>
          <w:lang w:val="el-GR"/>
        </w:rPr>
        <w:t xml:space="preserve">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405CBE30" w:rsidR="00541268" w:rsidRPr="001804AE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414F3B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p w14:paraId="40F8FCD2" w14:textId="77777777" w:rsidR="001804AE" w:rsidRPr="00E262F3" w:rsidRDefault="001804AE" w:rsidP="00D50F18">
      <w:pPr>
        <w:pStyle w:val="ListParagraph"/>
        <w:spacing w:after="120" w:line="360" w:lineRule="auto"/>
        <w:ind w:left="360"/>
        <w:jc w:val="both"/>
        <w:rPr>
          <w:rFonts w:cstheme="minorHAnsi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416"/>
        <w:gridCol w:w="5341"/>
      </w:tblGrid>
      <w:tr w:rsidR="00D50F18" w14:paraId="28DF6FAB" w14:textId="77777777" w:rsidTr="00D50F18">
        <w:trPr>
          <w:trHeight w:val="299"/>
        </w:trPr>
        <w:tc>
          <w:tcPr>
            <w:tcW w:w="298" w:type="pct"/>
            <w:shd w:val="clear" w:color="auto" w:fill="E4B8B7"/>
            <w:vAlign w:val="center"/>
          </w:tcPr>
          <w:p w14:paraId="38264186" w14:textId="77777777" w:rsidR="00D50F18" w:rsidRDefault="00D50F18" w:rsidP="00457719">
            <w:pPr>
              <w:pStyle w:val="TableParagraph"/>
              <w:spacing w:before="13" w:line="26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552" w:type="pct"/>
            <w:shd w:val="clear" w:color="auto" w:fill="E4B8B7"/>
          </w:tcPr>
          <w:p w14:paraId="2EAC963C" w14:textId="77777777" w:rsidR="00D50F18" w:rsidRDefault="00D50F18" w:rsidP="00D50F18">
            <w:pPr>
              <w:pStyle w:val="TableParagraph"/>
              <w:spacing w:before="13" w:line="266" w:lineRule="exact"/>
              <w:ind w:right="1205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3150" w:type="pct"/>
            <w:shd w:val="clear" w:color="auto" w:fill="E4B8B7"/>
          </w:tcPr>
          <w:p w14:paraId="2E0C4C7F" w14:textId="77777777" w:rsidR="00D50F18" w:rsidRDefault="00D50F18" w:rsidP="00457719">
            <w:pPr>
              <w:pStyle w:val="TableParagraph"/>
              <w:spacing w:before="13" w:line="266" w:lineRule="exact"/>
              <w:ind w:left="1822"/>
              <w:rPr>
                <w:b/>
              </w:rPr>
            </w:pPr>
            <w:r>
              <w:rPr>
                <w:b/>
              </w:rPr>
              <w:t>ΕΛΑΧΙΣΤΕΣ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ΠΡΟΔΙΑΓΡΑΦΕΣ</w:t>
            </w:r>
          </w:p>
        </w:tc>
      </w:tr>
      <w:tr w:rsidR="00D50F18" w14:paraId="3800B770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1ECBAA32" w14:textId="77777777" w:rsidR="00D50F18" w:rsidRDefault="00D50F18" w:rsidP="006D081F">
            <w:pPr>
              <w:pStyle w:val="TableParagraph"/>
              <w:jc w:val="center"/>
            </w:pPr>
          </w:p>
          <w:p w14:paraId="064D070D" w14:textId="77777777" w:rsidR="00D50F18" w:rsidRDefault="00D50F18" w:rsidP="006D081F">
            <w:pPr>
              <w:pStyle w:val="TableParagraph"/>
              <w:jc w:val="center"/>
            </w:pPr>
          </w:p>
          <w:p w14:paraId="24B90E53" w14:textId="77777777" w:rsidR="00D50F18" w:rsidRDefault="00D50F18" w:rsidP="006D081F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552" w:type="pct"/>
            <w:vAlign w:val="center"/>
          </w:tcPr>
          <w:p w14:paraId="6A674251" w14:textId="77777777" w:rsidR="00D50F18" w:rsidRDefault="00D50F18" w:rsidP="006D081F">
            <w:pPr>
              <w:pStyle w:val="TableParagraph"/>
              <w:jc w:val="center"/>
            </w:pPr>
          </w:p>
          <w:p w14:paraId="16681829" w14:textId="77777777" w:rsidR="00D50F18" w:rsidRDefault="00D50F18" w:rsidP="006D081F">
            <w:pPr>
              <w:pStyle w:val="TableParagraph"/>
              <w:jc w:val="center"/>
            </w:pPr>
          </w:p>
          <w:p w14:paraId="197E7B45" w14:textId="77777777" w:rsidR="00D50F18" w:rsidRDefault="00D50F18" w:rsidP="006D081F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>
              <w:rPr>
                <w:b/>
              </w:rPr>
              <w:t>Πλυντήριο Ρούχων 8kg</w:t>
            </w:r>
          </w:p>
        </w:tc>
        <w:tc>
          <w:tcPr>
            <w:tcW w:w="3150" w:type="pct"/>
          </w:tcPr>
          <w:p w14:paraId="244BB8F2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0802DC35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84.8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59.8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55</w:t>
            </w:r>
            <w:r>
              <w:rPr>
                <w:spacing w:val="-47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70C68AE2" w14:textId="77777777" w:rsidR="00D50F18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0BCAF1B2" w14:textId="7777777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03A6FB3B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3B38916E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0E8A1596" w14:textId="77777777" w:rsidR="00D50F18" w:rsidRDefault="00D50F18" w:rsidP="006D081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552" w:type="pct"/>
            <w:vAlign w:val="center"/>
          </w:tcPr>
          <w:p w14:paraId="6EBE8DCC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proofErr w:type="spellStart"/>
            <w:r>
              <w:rPr>
                <w:b/>
              </w:rPr>
              <w:t>kg</w:t>
            </w:r>
            <w:proofErr w:type="spellEnd"/>
          </w:p>
        </w:tc>
        <w:tc>
          <w:tcPr>
            <w:tcW w:w="3150" w:type="pct"/>
          </w:tcPr>
          <w:p w14:paraId="1F52BAE8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43D90A0F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7863A8A1" w14:textId="77777777" w:rsidR="00D50F18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224917C2" w14:textId="7777777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69213D46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297E41B9" w14:textId="77777777" w:rsidTr="006D081F">
        <w:trPr>
          <w:trHeight w:val="2102"/>
        </w:trPr>
        <w:tc>
          <w:tcPr>
            <w:tcW w:w="298" w:type="pct"/>
            <w:vAlign w:val="center"/>
          </w:tcPr>
          <w:p w14:paraId="042FEB20" w14:textId="77777777" w:rsidR="00D50F18" w:rsidRDefault="00D50F18" w:rsidP="006D081F">
            <w:pPr>
              <w:pStyle w:val="TableParagraph"/>
              <w:jc w:val="center"/>
            </w:pPr>
            <w:r>
              <w:lastRenderedPageBreak/>
              <w:t>3</w:t>
            </w:r>
          </w:p>
        </w:tc>
        <w:tc>
          <w:tcPr>
            <w:tcW w:w="1552" w:type="pct"/>
            <w:vAlign w:val="center"/>
          </w:tcPr>
          <w:p w14:paraId="263D3A76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3150" w:type="pct"/>
          </w:tcPr>
          <w:p w14:paraId="15F8825B" w14:textId="77777777" w:rsidR="00D50F18" w:rsidRDefault="00D50F18" w:rsidP="00457719">
            <w:pPr>
              <w:pStyle w:val="TableParagraph"/>
              <w:spacing w:before="107"/>
              <w:ind w:left="108"/>
            </w:pPr>
            <w:r w:rsidRPr="00686DC3">
              <w:t>Χωρητικότητα</w:t>
            </w:r>
            <w:r w:rsidRPr="00686DC3">
              <w:rPr>
                <w:spacing w:val="-2"/>
              </w:rPr>
              <w:t xml:space="preserve"> </w:t>
            </w:r>
            <w:r w:rsidRPr="00686DC3">
              <w:t>Πλύσης:</w:t>
            </w:r>
            <w:r w:rsidRPr="00686DC3">
              <w:rPr>
                <w:spacing w:val="-4"/>
              </w:rPr>
              <w:t xml:space="preserve"> </w:t>
            </w:r>
            <w:r w:rsidRPr="00686DC3">
              <w:t>7kg</w:t>
            </w:r>
          </w:p>
          <w:p w14:paraId="79ADAD74" w14:textId="77777777" w:rsidR="00D50F18" w:rsidRPr="00C324CD" w:rsidRDefault="00D50F18" w:rsidP="00457719">
            <w:pPr>
              <w:pStyle w:val="TableParagraph"/>
              <w:spacing w:before="107"/>
              <w:ind w:left="108"/>
            </w:pPr>
            <w:r>
              <w:t>Άνω φόρτωσης</w:t>
            </w:r>
          </w:p>
          <w:p w14:paraId="16E43786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4C32D73C" w14:textId="77777777" w:rsidR="00D50F18" w:rsidRPr="00F763D1" w:rsidRDefault="00D50F18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5578048B" w14:textId="09C19A97" w:rsidR="00D50F18" w:rsidRDefault="00D50F18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 w:rsidR="000A6BB9" w:rsidRPr="000A6BB9">
              <w:rPr>
                <w:spacing w:val="-47"/>
              </w:rPr>
              <w:t xml:space="preserve">    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785329FA" w14:textId="77777777" w:rsidR="00D50F18" w:rsidRDefault="00D50F18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D50F18" w14:paraId="6BC3A1C4" w14:textId="77777777" w:rsidTr="006D081F">
        <w:trPr>
          <w:trHeight w:val="3300"/>
        </w:trPr>
        <w:tc>
          <w:tcPr>
            <w:tcW w:w="298" w:type="pct"/>
            <w:vAlign w:val="center"/>
          </w:tcPr>
          <w:p w14:paraId="1F7CC3DB" w14:textId="77777777" w:rsidR="006D081F" w:rsidRDefault="006D081F" w:rsidP="006D081F">
            <w:pPr>
              <w:pStyle w:val="TableParagraph"/>
              <w:jc w:val="center"/>
            </w:pPr>
          </w:p>
          <w:p w14:paraId="0FE993DE" w14:textId="77777777" w:rsidR="006D081F" w:rsidRDefault="006D081F" w:rsidP="006D081F">
            <w:pPr>
              <w:pStyle w:val="TableParagraph"/>
              <w:jc w:val="center"/>
            </w:pPr>
          </w:p>
          <w:p w14:paraId="6E3345AE" w14:textId="77777777" w:rsidR="006D081F" w:rsidRDefault="006D081F" w:rsidP="006D081F">
            <w:pPr>
              <w:pStyle w:val="TableParagraph"/>
              <w:jc w:val="center"/>
            </w:pPr>
          </w:p>
          <w:p w14:paraId="20DB5227" w14:textId="77777777" w:rsidR="006D081F" w:rsidRDefault="006D081F" w:rsidP="006D081F">
            <w:pPr>
              <w:pStyle w:val="TableParagraph"/>
              <w:jc w:val="center"/>
            </w:pPr>
          </w:p>
          <w:p w14:paraId="182A4224" w14:textId="77777777" w:rsidR="006D081F" w:rsidRDefault="006D081F" w:rsidP="006D081F">
            <w:pPr>
              <w:pStyle w:val="TableParagraph"/>
              <w:jc w:val="center"/>
            </w:pPr>
          </w:p>
          <w:p w14:paraId="6BAC313E" w14:textId="18EB5BB7" w:rsidR="00D50F18" w:rsidRDefault="00D50F18" w:rsidP="006D081F">
            <w:pPr>
              <w:pStyle w:val="TableParagraph"/>
              <w:jc w:val="center"/>
            </w:pPr>
            <w:r>
              <w:t>4</w:t>
            </w:r>
          </w:p>
          <w:p w14:paraId="47EA0BF6" w14:textId="77777777" w:rsidR="00D50F18" w:rsidRDefault="00D50F18" w:rsidP="006D081F">
            <w:pPr>
              <w:pStyle w:val="TableParagraph"/>
              <w:jc w:val="center"/>
            </w:pPr>
          </w:p>
          <w:p w14:paraId="78D9C0B1" w14:textId="77777777" w:rsidR="00D50F18" w:rsidRDefault="00D50F18" w:rsidP="006D081F">
            <w:pPr>
              <w:pStyle w:val="TableParagraph"/>
              <w:jc w:val="center"/>
            </w:pPr>
          </w:p>
          <w:p w14:paraId="54C24ED2" w14:textId="77777777" w:rsidR="00D50F18" w:rsidRDefault="00D50F18" w:rsidP="006D081F">
            <w:pPr>
              <w:pStyle w:val="TableParagraph"/>
              <w:jc w:val="center"/>
            </w:pPr>
          </w:p>
          <w:p w14:paraId="3D56A655" w14:textId="77777777" w:rsidR="00D50F18" w:rsidRDefault="00D50F18" w:rsidP="006D081F">
            <w:pPr>
              <w:pStyle w:val="TableParagraph"/>
              <w:jc w:val="center"/>
            </w:pPr>
          </w:p>
          <w:p w14:paraId="4037CEC4" w14:textId="77777777" w:rsidR="00D50F18" w:rsidRDefault="00D50F18" w:rsidP="006D081F">
            <w:pPr>
              <w:pStyle w:val="TableParagraph"/>
              <w:spacing w:before="168"/>
              <w:ind w:left="9"/>
              <w:jc w:val="center"/>
            </w:pPr>
          </w:p>
        </w:tc>
        <w:tc>
          <w:tcPr>
            <w:tcW w:w="1552" w:type="pct"/>
            <w:vAlign w:val="center"/>
          </w:tcPr>
          <w:p w14:paraId="6FF5F0F5" w14:textId="77777777" w:rsidR="00D50F18" w:rsidRDefault="00D50F18" w:rsidP="006D081F">
            <w:pPr>
              <w:pStyle w:val="TableParagraph"/>
              <w:spacing w:before="168"/>
              <w:jc w:val="center"/>
              <w:rPr>
                <w:b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3150" w:type="pct"/>
          </w:tcPr>
          <w:p w14:paraId="4929CE08" w14:textId="77777777" w:rsidR="00D50F18" w:rsidRDefault="00D50F18" w:rsidP="00457719">
            <w:pPr>
              <w:pStyle w:val="TableParagraph"/>
              <w:spacing w:before="35"/>
              <w:ind w:left="108" w:right="13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 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7"/>
              </w:rPr>
              <w:t xml:space="preserve"> </w:t>
            </w:r>
            <w:r>
              <w:t>Χωρητικότητα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&gt;55lt</w:t>
            </w:r>
          </w:p>
          <w:p w14:paraId="63D1D974" w14:textId="77777777" w:rsidR="00D50F18" w:rsidRDefault="00D50F18" w:rsidP="00457719">
            <w:pPr>
              <w:pStyle w:val="TableParagraph"/>
              <w:ind w:left="108"/>
            </w:pPr>
            <w:r>
              <w:t>Εστίες:</w:t>
            </w:r>
            <w:r>
              <w:rPr>
                <w:spacing w:val="-3"/>
              </w:rPr>
              <w:t xml:space="preserve"> </w:t>
            </w:r>
            <w:r>
              <w:t>Εμαγιέ</w:t>
            </w:r>
          </w:p>
          <w:p w14:paraId="04901B19" w14:textId="77777777" w:rsidR="00D50F18" w:rsidRDefault="00D50F18" w:rsidP="00457719">
            <w:pPr>
              <w:pStyle w:val="TableParagraph"/>
              <w:spacing w:before="3" w:line="237" w:lineRule="auto"/>
              <w:ind w:left="108" w:right="4110"/>
            </w:pPr>
            <w:r>
              <w:t>Αριθμός Εστιών: 4</w:t>
            </w:r>
            <w:r>
              <w:rPr>
                <w:spacing w:val="1"/>
              </w:rPr>
              <w:t xml:space="preserve"> </w:t>
            </w:r>
            <w:r>
              <w:t>Ενεργειακή</w:t>
            </w:r>
            <w:r>
              <w:rPr>
                <w:spacing w:val="-6"/>
              </w:rPr>
              <w:t xml:space="preserve"> </w:t>
            </w:r>
            <w:r>
              <w:t>Κλάση: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276C4D66" w14:textId="77777777" w:rsidR="00D50F18" w:rsidRDefault="00D50F18" w:rsidP="00457719">
            <w:pPr>
              <w:pStyle w:val="TableParagraph"/>
              <w:spacing w:before="1"/>
              <w:ind w:left="108" w:right="98"/>
              <w:jc w:val="both"/>
            </w:pPr>
            <w:r>
              <w:t>Επιπλέον προδιαγραφές: Λυχνίες ελέγχου λειτουργίας τεσσάρων</w:t>
            </w:r>
            <w:r>
              <w:rPr>
                <w:spacing w:val="1"/>
              </w:rPr>
              <w:t xml:space="preserve"> </w:t>
            </w:r>
            <w:r>
              <w:t>εστιών - φούρνου, πολλαπλή λειτουργία φούρνου με 1) πάνω και</w:t>
            </w:r>
            <w:r>
              <w:rPr>
                <w:spacing w:val="-47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αντιστάσεις,</w:t>
            </w:r>
            <w:r>
              <w:rPr>
                <w:spacing w:val="-3"/>
              </w:rPr>
              <w:t xml:space="preserve"> </w:t>
            </w:r>
            <w:r>
              <w:t>2)</w:t>
            </w:r>
            <w:r>
              <w:rPr>
                <w:spacing w:val="-3"/>
              </w:rPr>
              <w:t xml:space="preserve"> </w:t>
            </w:r>
            <w:r>
              <w:t>πάνω</w:t>
            </w:r>
            <w:r>
              <w:rPr>
                <w:spacing w:val="-4"/>
              </w:rPr>
              <w:t xml:space="preserve"> </w:t>
            </w:r>
            <w:r>
              <w:t>αντίσταση,</w:t>
            </w:r>
            <w:r>
              <w:rPr>
                <w:spacing w:val="-4"/>
              </w:rPr>
              <w:t xml:space="preserve"> </w:t>
            </w:r>
            <w:r>
              <w:t>3)</w:t>
            </w:r>
            <w:r>
              <w:rPr>
                <w:spacing w:val="-4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αντίσταση,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  <w:p w14:paraId="00E20831" w14:textId="77777777" w:rsidR="00D50F18" w:rsidRDefault="00D50F18" w:rsidP="00457719">
            <w:pPr>
              <w:pStyle w:val="TableParagraph"/>
              <w:spacing w:before="1"/>
              <w:ind w:left="108"/>
              <w:jc w:val="both"/>
            </w:pPr>
            <w:r>
              <w:t>κυκλοφορία</w:t>
            </w:r>
            <w:r>
              <w:rPr>
                <w:spacing w:val="-2"/>
              </w:rPr>
              <w:t xml:space="preserve"> </w:t>
            </w:r>
            <w:r>
              <w:t>θερμού αέρα,</w:t>
            </w:r>
            <w:r>
              <w:rPr>
                <w:spacing w:val="-3"/>
              </w:rPr>
              <w:t xml:space="preserve"> </w:t>
            </w:r>
            <w:r>
              <w:t>5)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6)</w:t>
            </w:r>
            <w:r>
              <w:rPr>
                <w:spacing w:val="-1"/>
              </w:rPr>
              <w:t xml:space="preserve"> </w:t>
            </w:r>
            <w:r>
              <w:t>συνδυασμός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A60F3DF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κυκλοφορίας θερμού αέρα, 7) κάτω αντίσταση και κυκλοφορία</w:t>
            </w:r>
            <w:r>
              <w:rPr>
                <w:spacing w:val="-47"/>
              </w:rPr>
              <w:t xml:space="preserve"> </w:t>
            </w:r>
            <w:r>
              <w:t xml:space="preserve">θερμού αέρα και συρτάρι αποθήκευσης, </w:t>
            </w:r>
          </w:p>
          <w:p w14:paraId="7478BB6E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56BB5548" w14:textId="77777777" w:rsidR="00D50F18" w:rsidRDefault="00D50F18" w:rsidP="00457719">
            <w:pPr>
              <w:pStyle w:val="TableParagraph"/>
              <w:ind w:left="108" w:right="311"/>
              <w:jc w:val="both"/>
            </w:pPr>
            <w:r>
              <w:t>Εγγύηση τουλάχιστον</w:t>
            </w:r>
            <w:r>
              <w:rPr>
                <w:spacing w:val="-47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D50F18" w14:paraId="19B52BDE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4B21CAA6" w14:textId="77777777" w:rsidR="00D50F18" w:rsidRDefault="00D50F18" w:rsidP="006D081F">
            <w:pPr>
              <w:pStyle w:val="TableParagraph"/>
              <w:jc w:val="center"/>
            </w:pPr>
          </w:p>
          <w:p w14:paraId="6A681240" w14:textId="77777777" w:rsidR="00D50F18" w:rsidRDefault="00D50F18" w:rsidP="006D081F">
            <w:pPr>
              <w:pStyle w:val="TableParagraph"/>
              <w:jc w:val="center"/>
            </w:pPr>
          </w:p>
          <w:p w14:paraId="35911A2F" w14:textId="77777777" w:rsidR="00D50F18" w:rsidRDefault="00D50F18" w:rsidP="006D081F">
            <w:pPr>
              <w:pStyle w:val="TableParagraph"/>
              <w:jc w:val="center"/>
            </w:pPr>
          </w:p>
          <w:p w14:paraId="1AA65D5C" w14:textId="77777777" w:rsidR="00D50F18" w:rsidRDefault="00D50F18" w:rsidP="006D081F">
            <w:pPr>
              <w:pStyle w:val="TableParagraph"/>
              <w:jc w:val="center"/>
            </w:pPr>
          </w:p>
          <w:p w14:paraId="7B58558E" w14:textId="77777777" w:rsidR="00D50F18" w:rsidRDefault="00D50F18" w:rsidP="006D081F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6D71F34" w14:textId="77777777" w:rsidR="00D50F18" w:rsidRDefault="00D50F18" w:rsidP="006D081F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1552" w:type="pct"/>
            <w:vAlign w:val="center"/>
          </w:tcPr>
          <w:p w14:paraId="05D4AFB0" w14:textId="77777777" w:rsidR="00D50F18" w:rsidRDefault="00D50F18" w:rsidP="006D081F">
            <w:pPr>
              <w:pStyle w:val="TableParagraph"/>
              <w:jc w:val="center"/>
            </w:pPr>
          </w:p>
          <w:p w14:paraId="4B64A357" w14:textId="77777777" w:rsidR="00D50F18" w:rsidRDefault="00D50F18" w:rsidP="006D081F">
            <w:pPr>
              <w:pStyle w:val="TableParagraph"/>
              <w:jc w:val="center"/>
            </w:pPr>
          </w:p>
          <w:p w14:paraId="6EDB277B" w14:textId="77777777" w:rsidR="00D50F18" w:rsidRDefault="00D50F18" w:rsidP="006D081F">
            <w:pPr>
              <w:pStyle w:val="TableParagraph"/>
              <w:jc w:val="center"/>
            </w:pPr>
          </w:p>
          <w:p w14:paraId="68868295" w14:textId="77777777" w:rsidR="00D50F18" w:rsidRDefault="00D50F18" w:rsidP="006D081F">
            <w:pPr>
              <w:pStyle w:val="TableParagraph"/>
              <w:jc w:val="center"/>
            </w:pPr>
          </w:p>
          <w:p w14:paraId="0B4C735C" w14:textId="77777777" w:rsidR="00D50F18" w:rsidRDefault="00D50F18" w:rsidP="006D081F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0EF2531D" w14:textId="77777777" w:rsidR="00D50F18" w:rsidRDefault="00D50F18" w:rsidP="006D081F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Φουρνάκι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κουζινάκι</w:t>
            </w:r>
            <w:proofErr w:type="spellEnd"/>
          </w:p>
        </w:tc>
        <w:tc>
          <w:tcPr>
            <w:tcW w:w="3150" w:type="pct"/>
          </w:tcPr>
          <w:p w14:paraId="016B25FA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Χωρητικότητα</w:t>
            </w:r>
            <w:r>
              <w:rPr>
                <w:spacing w:val="-4"/>
              </w:rPr>
              <w:t xml:space="preserve"> </w:t>
            </w:r>
            <w:r>
              <w:t>φούρνου: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6"/>
              </w:rPr>
              <w:t xml:space="preserve"> </w:t>
            </w:r>
            <w:r>
              <w:t>31lt</w:t>
            </w:r>
            <w:r>
              <w:rPr>
                <w:spacing w:val="-47"/>
              </w:rPr>
              <w:t xml:space="preserve"> </w:t>
            </w: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εστιών</w:t>
            </w:r>
            <w:r>
              <w:rPr>
                <w:spacing w:val="-5"/>
              </w:rPr>
              <w:t xml:space="preserve"> </w:t>
            </w:r>
            <w:r w:rsidRPr="003D058C">
              <w:t>μαγειρέματος:</w:t>
            </w:r>
            <w:r w:rsidRPr="003D058C">
              <w:rPr>
                <w:spacing w:val="-2"/>
              </w:rPr>
              <w:t xml:space="preserve"> </w:t>
            </w:r>
            <w:r w:rsidRPr="003D058C">
              <w:t>4 εμαγιέ</w:t>
            </w:r>
          </w:p>
          <w:p w14:paraId="069CA245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Ενδεικτικά</w:t>
            </w:r>
            <w:r>
              <w:rPr>
                <w:spacing w:val="-5"/>
              </w:rPr>
              <w:t xml:space="preserve"> </w:t>
            </w:r>
            <w:r>
              <w:t>μεγέθη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5"/>
              </w:rPr>
              <w:t xml:space="preserve"> </w:t>
            </w:r>
            <w:r>
              <w:t>19cm,</w:t>
            </w:r>
            <w:r>
              <w:rPr>
                <w:spacing w:val="-4"/>
              </w:rPr>
              <w:t xml:space="preserve"> </w:t>
            </w:r>
            <w:r>
              <w:t>15cm,</w:t>
            </w:r>
            <w:r>
              <w:rPr>
                <w:spacing w:val="-1"/>
              </w:rPr>
              <w:t xml:space="preserve"> </w:t>
            </w:r>
            <w:r>
              <w:t>9cm</w:t>
            </w:r>
          </w:p>
          <w:p w14:paraId="4209D841" w14:textId="77777777" w:rsidR="00D50F18" w:rsidRDefault="00D50F18" w:rsidP="00457719">
            <w:pPr>
              <w:pStyle w:val="TableParagraph"/>
              <w:ind w:left="108"/>
            </w:pPr>
            <w:r>
              <w:t>Ισχύς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4"/>
              </w:rPr>
              <w:t xml:space="preserve"> </w:t>
            </w:r>
            <w:r>
              <w:t>ενδεικτική</w:t>
            </w:r>
            <w:r>
              <w:rPr>
                <w:spacing w:val="-2"/>
              </w:rPr>
              <w:t xml:space="preserve"> </w:t>
            </w:r>
            <w:r>
              <w:t>3.000W</w:t>
            </w:r>
            <w:r>
              <w:rPr>
                <w:spacing w:val="-4"/>
              </w:rPr>
              <w:t xml:space="preserve"> </w:t>
            </w:r>
            <w:r>
              <w:t>(1.500W,</w:t>
            </w:r>
            <w:r>
              <w:rPr>
                <w:spacing w:val="-4"/>
              </w:rPr>
              <w:t xml:space="preserve"> </w:t>
            </w:r>
            <w:r>
              <w:t>1.000W,</w:t>
            </w:r>
            <w:r>
              <w:rPr>
                <w:spacing w:val="-4"/>
              </w:rPr>
              <w:t xml:space="preserve"> </w:t>
            </w:r>
            <w:r>
              <w:t>450W)</w:t>
            </w:r>
          </w:p>
          <w:p w14:paraId="0EBA1AE1" w14:textId="77777777" w:rsidR="00D50F18" w:rsidRDefault="00D50F18" w:rsidP="00457719">
            <w:pPr>
              <w:pStyle w:val="TableParagraph"/>
              <w:ind w:left="108" w:right="130"/>
            </w:pPr>
            <w:r>
              <w:t xml:space="preserve">Λειτουργίες ψησίματος: 3 (άνω αντίσταση, κάτω αντίσταση, </w:t>
            </w:r>
            <w:proofErr w:type="spellStart"/>
            <w:r>
              <w:t>grill</w:t>
            </w:r>
            <w:proofErr w:type="spellEnd"/>
            <w:r>
              <w:t>)</w:t>
            </w:r>
            <w:r>
              <w:rPr>
                <w:spacing w:val="-48"/>
              </w:rPr>
              <w:t xml:space="preserve"> </w:t>
            </w:r>
            <w:r>
              <w:t>Ισχύς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ενδεικτική</w:t>
            </w:r>
            <w:r>
              <w:rPr>
                <w:spacing w:val="-3"/>
              </w:rPr>
              <w:t xml:space="preserve"> </w:t>
            </w:r>
            <w:r>
              <w:t>3.200W</w:t>
            </w:r>
          </w:p>
          <w:p w14:paraId="14A5D520" w14:textId="77777777" w:rsidR="00D50F18" w:rsidRDefault="00D50F18" w:rsidP="00457719">
            <w:pPr>
              <w:pStyle w:val="TableParagraph"/>
              <w:spacing w:before="1"/>
              <w:ind w:left="108" w:right="250"/>
            </w:pPr>
            <w:r>
              <w:t>Θερμομονωτική πόρτα για αποφυγή διαρροής θερμότητας</w:t>
            </w:r>
            <w:r>
              <w:rPr>
                <w:spacing w:val="1"/>
              </w:rPr>
              <w:t xml:space="preserve"> </w:t>
            </w: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38EDE69F" w14:textId="77777777" w:rsidR="00D50F18" w:rsidRDefault="00D50F18" w:rsidP="00457719">
            <w:pPr>
              <w:pStyle w:val="TableParagraph"/>
              <w:spacing w:line="267" w:lineRule="exact"/>
              <w:ind w:left="108"/>
            </w:pPr>
            <w:r>
              <w:t>Εγγύηση: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έτη</w:t>
            </w:r>
          </w:p>
        </w:tc>
      </w:tr>
      <w:tr w:rsidR="00D50F18" w14:paraId="38050CEB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0BD33040" w14:textId="77777777" w:rsidR="006D081F" w:rsidRDefault="006D081F" w:rsidP="006D081F">
            <w:pPr>
              <w:pStyle w:val="TableParagraph"/>
              <w:jc w:val="center"/>
            </w:pPr>
          </w:p>
          <w:p w14:paraId="45A0962E" w14:textId="77777777" w:rsidR="006D081F" w:rsidRDefault="006D081F" w:rsidP="006D081F">
            <w:pPr>
              <w:pStyle w:val="TableParagraph"/>
              <w:jc w:val="center"/>
            </w:pPr>
          </w:p>
          <w:p w14:paraId="0421D5B7" w14:textId="77777777" w:rsidR="006D081F" w:rsidRDefault="006D081F" w:rsidP="006D081F">
            <w:pPr>
              <w:pStyle w:val="TableParagraph"/>
              <w:jc w:val="center"/>
            </w:pPr>
          </w:p>
          <w:p w14:paraId="1343D0C1" w14:textId="77777777" w:rsidR="006D081F" w:rsidRDefault="006D081F" w:rsidP="006D081F">
            <w:pPr>
              <w:pStyle w:val="TableParagraph"/>
              <w:jc w:val="center"/>
            </w:pPr>
          </w:p>
          <w:p w14:paraId="5660AFC6" w14:textId="21108ED2" w:rsidR="00D50F18" w:rsidRDefault="00D50F18" w:rsidP="006D081F">
            <w:pPr>
              <w:pStyle w:val="TableParagraph"/>
              <w:jc w:val="center"/>
            </w:pPr>
            <w:r>
              <w:t>6</w:t>
            </w:r>
          </w:p>
          <w:p w14:paraId="56442DBF" w14:textId="77777777" w:rsidR="00D50F18" w:rsidRDefault="00D50F18" w:rsidP="006D081F">
            <w:pPr>
              <w:pStyle w:val="TableParagraph"/>
              <w:jc w:val="center"/>
            </w:pPr>
          </w:p>
          <w:p w14:paraId="109BEB08" w14:textId="77777777" w:rsidR="00D50F18" w:rsidRDefault="00D50F18" w:rsidP="006D081F">
            <w:pPr>
              <w:pStyle w:val="TableParagraph"/>
              <w:jc w:val="center"/>
            </w:pPr>
          </w:p>
          <w:p w14:paraId="489441EF" w14:textId="77777777" w:rsidR="00D50F18" w:rsidRDefault="00D50F18" w:rsidP="006D081F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7AB25838" w14:textId="77777777" w:rsidR="00D50F18" w:rsidRDefault="00D50F18" w:rsidP="006D081F">
            <w:pPr>
              <w:pStyle w:val="TableParagraph"/>
              <w:jc w:val="center"/>
            </w:pPr>
          </w:p>
        </w:tc>
        <w:tc>
          <w:tcPr>
            <w:tcW w:w="1552" w:type="pct"/>
            <w:vAlign w:val="center"/>
          </w:tcPr>
          <w:p w14:paraId="442937EA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3150" w:type="pct"/>
          </w:tcPr>
          <w:p w14:paraId="7C52E159" w14:textId="77777777" w:rsidR="00D50F18" w:rsidRDefault="00D50F18" w:rsidP="00457719">
            <w:pPr>
              <w:pStyle w:val="TableParagraph"/>
              <w:spacing w:line="265" w:lineRule="exact"/>
              <w:ind w:left="108"/>
            </w:pPr>
            <w:r>
              <w:t>Τύπος</w:t>
            </w:r>
            <w:r>
              <w:rPr>
                <w:spacing w:val="-2"/>
              </w:rPr>
              <w:t xml:space="preserve"> </w:t>
            </w:r>
            <w:r>
              <w:t>ψύξης:</w:t>
            </w:r>
            <w:r>
              <w:rPr>
                <w:spacing w:val="-2"/>
              </w:rPr>
              <w:t xml:space="preserve"> </w:t>
            </w:r>
            <w:r>
              <w:t>Συμβατικός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Frost</w:t>
            </w:r>
            <w:proofErr w:type="spellEnd"/>
          </w:p>
          <w:p w14:paraId="129C0F44" w14:textId="77777777" w:rsidR="00D50F18" w:rsidRDefault="00D50F18" w:rsidP="00457719">
            <w:pPr>
              <w:pStyle w:val="TableParagraph"/>
              <w:ind w:left="108" w:right="25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46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A++</w:t>
            </w:r>
          </w:p>
          <w:p w14:paraId="080267F7" w14:textId="77777777" w:rsidR="00D50F18" w:rsidRDefault="00D50F18" w:rsidP="00457719">
            <w:pPr>
              <w:pStyle w:val="TableParagraph"/>
              <w:ind w:left="108"/>
            </w:pPr>
            <w:r>
              <w:t>Χωρητικότητα</w:t>
            </w:r>
            <w:r>
              <w:rPr>
                <w:spacing w:val="-5"/>
              </w:rPr>
              <w:t xml:space="preserve"> </w:t>
            </w:r>
            <w:r>
              <w:t>μικτή:</w:t>
            </w:r>
            <w:r>
              <w:rPr>
                <w:spacing w:val="47"/>
              </w:rPr>
              <w:t xml:space="preserve"> </w:t>
            </w:r>
            <w:r>
              <w:t>&gt;300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lt</w:t>
            </w:r>
            <w:proofErr w:type="spellEnd"/>
          </w:p>
          <w:p w14:paraId="5F5B346A" w14:textId="77777777" w:rsidR="00D50F18" w:rsidRDefault="00D50F18" w:rsidP="00457719">
            <w:pPr>
              <w:pStyle w:val="TableParagraph"/>
              <w:spacing w:before="1"/>
              <w:ind w:left="108" w:right="130"/>
            </w:pPr>
            <w:r>
              <w:t xml:space="preserve">Επιπλέον προδιαγραφές: </w:t>
            </w:r>
            <w:proofErr w:type="spellStart"/>
            <w:r>
              <w:t>κάταψυξη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δυνατότητα</w:t>
            </w:r>
            <w:r>
              <w:rPr>
                <w:spacing w:val="-4"/>
              </w:rPr>
              <w:t xml:space="preserve"> </w:t>
            </w:r>
            <w:r>
              <w:t>ανεξάρτητης</w:t>
            </w:r>
            <w:r>
              <w:rPr>
                <w:spacing w:val="-5"/>
              </w:rPr>
              <w:t xml:space="preserve"> </w:t>
            </w:r>
            <w:r>
              <w:t>ρύθμισης</w:t>
            </w:r>
            <w:r>
              <w:rPr>
                <w:spacing w:val="-47"/>
              </w:rPr>
              <w:t xml:space="preserve"> </w:t>
            </w:r>
            <w:r>
              <w:t>ψύξης στην κατάψυξη, τρία (3) συρτάρια στο</w:t>
            </w:r>
            <w:r>
              <w:rPr>
                <w:spacing w:val="1"/>
              </w:rPr>
              <w:t xml:space="preserve"> </w:t>
            </w:r>
            <w:r>
              <w:t>θάλαμο</w:t>
            </w:r>
            <w:r>
              <w:rPr>
                <w:spacing w:val="-2"/>
              </w:rPr>
              <w:t xml:space="preserve"> </w:t>
            </w:r>
            <w:r>
              <w:t>κατάψυξη,</w:t>
            </w:r>
            <w:r>
              <w:rPr>
                <w:spacing w:val="-1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φρουτολεκάνες</w:t>
            </w:r>
            <w:proofErr w:type="spellEnd"/>
            <w:r>
              <w:t>,</w:t>
            </w:r>
            <w:r>
              <w:rPr>
                <w:spacing w:val="47"/>
              </w:rPr>
              <w:t xml:space="preserve"> </w:t>
            </w:r>
            <w:r>
              <w:t>θήκες</w:t>
            </w:r>
            <w:r>
              <w:rPr>
                <w:spacing w:val="-3"/>
              </w:rPr>
              <w:t xml:space="preserve"> </w:t>
            </w:r>
            <w:r>
              <w:t>για αυγά,</w:t>
            </w:r>
          </w:p>
          <w:p w14:paraId="48F69D80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2"/>
              </w:rPr>
              <w:t xml:space="preserve"> </w:t>
            </w: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χρόνια</w:t>
            </w:r>
          </w:p>
        </w:tc>
      </w:tr>
      <w:tr w:rsidR="00D50F18" w14:paraId="6CA0996D" w14:textId="77777777" w:rsidTr="006D081F">
        <w:trPr>
          <w:trHeight w:val="3000"/>
        </w:trPr>
        <w:tc>
          <w:tcPr>
            <w:tcW w:w="298" w:type="pct"/>
            <w:vAlign w:val="center"/>
          </w:tcPr>
          <w:p w14:paraId="34CD6FE9" w14:textId="77777777" w:rsidR="00D50F18" w:rsidRDefault="00D50F18" w:rsidP="006D081F">
            <w:pPr>
              <w:pStyle w:val="TableParagraph"/>
              <w:jc w:val="center"/>
            </w:pPr>
          </w:p>
          <w:p w14:paraId="484AFDA2" w14:textId="77777777" w:rsidR="00D50F18" w:rsidRDefault="00D50F18" w:rsidP="006D081F">
            <w:pPr>
              <w:pStyle w:val="TableParagraph"/>
              <w:jc w:val="center"/>
            </w:pPr>
          </w:p>
          <w:p w14:paraId="7FF10E55" w14:textId="77777777" w:rsidR="00D50F18" w:rsidRDefault="00D50F18" w:rsidP="006D081F">
            <w:pPr>
              <w:pStyle w:val="TableParagraph"/>
              <w:jc w:val="center"/>
            </w:pPr>
          </w:p>
          <w:p w14:paraId="5DBFD4F4" w14:textId="77777777" w:rsidR="00D50F18" w:rsidRDefault="00D50F18" w:rsidP="006D081F">
            <w:pPr>
              <w:pStyle w:val="TableParagraph"/>
              <w:jc w:val="center"/>
              <w:rPr>
                <w:sz w:val="21"/>
              </w:rPr>
            </w:pPr>
          </w:p>
          <w:p w14:paraId="23597B12" w14:textId="77777777" w:rsidR="00D50F18" w:rsidRDefault="00D50F18" w:rsidP="006D081F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52" w:type="pct"/>
            <w:vAlign w:val="center"/>
          </w:tcPr>
          <w:p w14:paraId="3AD320A1" w14:textId="77777777" w:rsidR="00D50F18" w:rsidRDefault="00D50F18" w:rsidP="006D081F">
            <w:pPr>
              <w:pStyle w:val="TableParagraph"/>
              <w:jc w:val="center"/>
            </w:pPr>
          </w:p>
          <w:p w14:paraId="50979814" w14:textId="77777777" w:rsidR="00D50F18" w:rsidRDefault="00D50F18" w:rsidP="006D081F">
            <w:pPr>
              <w:pStyle w:val="TableParagraph"/>
              <w:jc w:val="center"/>
            </w:pPr>
          </w:p>
          <w:p w14:paraId="62B21E11" w14:textId="77777777" w:rsidR="00D50F18" w:rsidRDefault="00D50F18" w:rsidP="006D081F">
            <w:pPr>
              <w:pStyle w:val="TableParagraph"/>
              <w:jc w:val="center"/>
            </w:pPr>
          </w:p>
          <w:p w14:paraId="6638541B" w14:textId="77777777" w:rsidR="00D50F18" w:rsidRDefault="00D50F18" w:rsidP="006D081F">
            <w:pPr>
              <w:pStyle w:val="TableParagraph"/>
              <w:jc w:val="center"/>
              <w:rPr>
                <w:sz w:val="21"/>
              </w:rPr>
            </w:pPr>
          </w:p>
          <w:p w14:paraId="19FF7929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</w:p>
        </w:tc>
        <w:tc>
          <w:tcPr>
            <w:tcW w:w="3150" w:type="pct"/>
          </w:tcPr>
          <w:p w14:paraId="78D7DC34" w14:textId="77777777" w:rsidR="00D50F18" w:rsidRDefault="00D50F18" w:rsidP="00457719">
            <w:pPr>
              <w:pStyle w:val="TableParagraph"/>
              <w:spacing w:before="124"/>
              <w:ind w:left="108"/>
            </w:pPr>
            <w:r>
              <w:t>Τύπος</w:t>
            </w:r>
            <w:r>
              <w:rPr>
                <w:spacing w:val="-3"/>
              </w:rPr>
              <w:t xml:space="preserve"> </w:t>
            </w:r>
            <w:r>
              <w:t>απορροφητήρα:</w:t>
            </w:r>
            <w:r>
              <w:rPr>
                <w:spacing w:val="-3"/>
              </w:rPr>
              <w:t xml:space="preserve"> </w:t>
            </w:r>
            <w:r>
              <w:t>Απλός</w:t>
            </w:r>
          </w:p>
          <w:p w14:paraId="0C27AD95" w14:textId="77777777" w:rsidR="00D50F18" w:rsidRDefault="00D50F18" w:rsidP="00457719">
            <w:pPr>
              <w:pStyle w:val="TableParagraph"/>
              <w:ind w:left="108" w:right="2343"/>
            </w:pPr>
            <w:r>
              <w:t>Πλάτος συσκευής απορροφητήρα: 60cm</w:t>
            </w:r>
            <w:r>
              <w:rPr>
                <w:spacing w:val="-47"/>
              </w:rPr>
              <w:t xml:space="preserve"> </w:t>
            </w:r>
            <w:r>
              <w:t>Φίλτρα</w:t>
            </w:r>
            <w:r>
              <w:rPr>
                <w:spacing w:val="-1"/>
              </w:rPr>
              <w:t xml:space="preserve"> </w:t>
            </w:r>
            <w:r>
              <w:t>προστασίας: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693AD5D0" w14:textId="77777777" w:rsidR="00D50F18" w:rsidRDefault="00D50F18" w:rsidP="00457719">
            <w:pPr>
              <w:pStyle w:val="TableParagraph"/>
              <w:spacing w:before="3" w:line="237" w:lineRule="auto"/>
              <w:ind w:left="108" w:right="1131"/>
            </w:pPr>
            <w:r>
              <w:t>Αποσπώμενα</w:t>
            </w:r>
            <w:r>
              <w:rPr>
                <w:spacing w:val="-4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  <w:r>
              <w:rPr>
                <w:spacing w:val="-47"/>
              </w:rPr>
              <w:t xml:space="preserve"> </w:t>
            </w:r>
            <w:r>
              <w:t>Ταχύτητες</w:t>
            </w:r>
            <w:r>
              <w:rPr>
                <w:spacing w:val="-2"/>
              </w:rPr>
              <w:t xml:space="preserve"> </w:t>
            </w:r>
            <w:r>
              <w:t>λειτουργίας:</w:t>
            </w:r>
            <w:r>
              <w:rPr>
                <w:spacing w:val="-2"/>
              </w:rPr>
              <w:t xml:space="preserve"> </w:t>
            </w:r>
            <w:r>
              <w:t>τουλάχιστον 2</w:t>
            </w:r>
          </w:p>
          <w:p w14:paraId="11297E9B" w14:textId="5C60A088" w:rsidR="00D50F18" w:rsidRDefault="00D50F18" w:rsidP="00457719">
            <w:pPr>
              <w:pStyle w:val="TableParagraph"/>
              <w:spacing w:before="1"/>
              <w:ind w:left="108" w:right="3512"/>
            </w:pPr>
            <w:r>
              <w:t>Δυνατότητα</w:t>
            </w:r>
            <w:r>
              <w:rPr>
                <w:spacing w:val="-8"/>
              </w:rPr>
              <w:t xml:space="preserve"> </w:t>
            </w:r>
            <w:r>
              <w:t>φωτισμού:</w:t>
            </w:r>
            <w:r>
              <w:rPr>
                <w:spacing w:val="-4"/>
              </w:rPr>
              <w:t xml:space="preserve"> </w:t>
            </w:r>
            <w:r>
              <w:t>Ναι</w:t>
            </w:r>
          </w:p>
          <w:p w14:paraId="7FEAC550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Επιπλέον</w:t>
            </w:r>
            <w:r>
              <w:rPr>
                <w:spacing w:val="-6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εγγύηση</w:t>
            </w:r>
            <w:r>
              <w:rPr>
                <w:spacing w:val="-4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D50F18" w14:paraId="192F2567" w14:textId="77777777" w:rsidTr="006D081F">
        <w:trPr>
          <w:trHeight w:val="2073"/>
        </w:trPr>
        <w:tc>
          <w:tcPr>
            <w:tcW w:w="298" w:type="pct"/>
            <w:vAlign w:val="center"/>
          </w:tcPr>
          <w:p w14:paraId="682AE51A" w14:textId="77777777" w:rsidR="00D50F18" w:rsidRDefault="00D50F18" w:rsidP="006D081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552" w:type="pct"/>
            <w:vAlign w:val="center"/>
          </w:tcPr>
          <w:p w14:paraId="50A4160C" w14:textId="77777777" w:rsidR="00D50F18" w:rsidRDefault="00D50F18" w:rsidP="006D081F">
            <w:pPr>
              <w:pStyle w:val="TableParagraph"/>
              <w:jc w:val="center"/>
            </w:pPr>
          </w:p>
          <w:p w14:paraId="7D099415" w14:textId="77777777" w:rsidR="00D50F18" w:rsidRDefault="00D50F18" w:rsidP="006D081F">
            <w:pPr>
              <w:pStyle w:val="TableParagraph"/>
              <w:jc w:val="center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3150" w:type="pct"/>
          </w:tcPr>
          <w:p w14:paraId="7382DB38" w14:textId="77777777" w:rsidR="00D50F18" w:rsidRDefault="00D50F18" w:rsidP="00457719">
            <w:pPr>
              <w:pStyle w:val="TableParagraph"/>
              <w:spacing w:before="1" w:line="237" w:lineRule="auto"/>
              <w:ind w:left="108" w:right="2892"/>
            </w:pPr>
            <w:r>
              <w:t>Τύπος απορροφητήρα: Συρόμενος</w:t>
            </w:r>
            <w:r>
              <w:rPr>
                <w:spacing w:val="-47"/>
              </w:rPr>
              <w:t xml:space="preserve"> </w:t>
            </w:r>
            <w:r>
              <w:t>Πλάτος:</w:t>
            </w:r>
            <w:r>
              <w:rPr>
                <w:spacing w:val="-2"/>
              </w:rPr>
              <w:t xml:space="preserve"> </w:t>
            </w:r>
            <w:r>
              <w:t>60cm</w:t>
            </w:r>
          </w:p>
          <w:p w14:paraId="7E20DB44" w14:textId="77777777" w:rsidR="00D50F18" w:rsidRDefault="00D50F18" w:rsidP="00457719">
            <w:pPr>
              <w:pStyle w:val="TableParagraph"/>
              <w:spacing w:before="1"/>
              <w:ind w:left="108" w:right="4183"/>
            </w:pPr>
            <w:r>
              <w:t>Φίλτρα: Αλουμινίου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Μοτέρ</w:t>
            </w:r>
            <w:r>
              <w:rPr>
                <w:spacing w:val="-1"/>
              </w:rPr>
              <w:t xml:space="preserve"> </w:t>
            </w:r>
            <w:r>
              <w:t>85 ή</w:t>
            </w:r>
            <w:r>
              <w:rPr>
                <w:spacing w:val="-1"/>
              </w:rPr>
              <w:t xml:space="preserve"> </w:t>
            </w:r>
            <w:r>
              <w:t>90W</w:t>
            </w:r>
          </w:p>
          <w:p w14:paraId="4D88BD82" w14:textId="77777777" w:rsidR="00D50F18" w:rsidRDefault="00D50F18" w:rsidP="00457719">
            <w:pPr>
              <w:pStyle w:val="TableParagraph"/>
              <w:spacing w:before="1"/>
              <w:ind w:left="108"/>
            </w:pPr>
            <w:r>
              <w:t>Τουλάχιστον 2</w:t>
            </w:r>
            <w:r>
              <w:rPr>
                <w:spacing w:val="-2"/>
              </w:rPr>
              <w:t xml:space="preserve"> </w:t>
            </w:r>
            <w:r>
              <w:t>ταχύτητες</w:t>
            </w:r>
          </w:p>
          <w:p w14:paraId="11DAFD2B" w14:textId="77777777" w:rsidR="00D50F18" w:rsidRDefault="00D50F18" w:rsidP="00457719">
            <w:pPr>
              <w:pStyle w:val="TableParagraph"/>
              <w:spacing w:before="152"/>
              <w:ind w:left="108" w:right="2228"/>
            </w:pPr>
            <w:r>
              <w:t>Αποσπώμενα</w:t>
            </w:r>
            <w:r>
              <w:rPr>
                <w:spacing w:val="-3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3565778E" w:rsidR="00CF5924" w:rsidRPr="00D806F9" w:rsidRDefault="00CF5924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Τα προς προμήθεια είδη θα παραδοθούν </w:t>
      </w:r>
      <w:r w:rsidR="00627D79" w:rsidRPr="00D806F9">
        <w:rPr>
          <w:rFonts w:eastAsia="Times New Roman" w:cstheme="minorHAnsi"/>
          <w:lang w:val="el-GR" w:eastAsia="el-GR"/>
        </w:rPr>
        <w:t xml:space="preserve">στις μονάδες στέγασης αιτούντων διεθνούς προστασίας </w:t>
      </w:r>
      <w:r w:rsidR="0000078E" w:rsidRPr="00D806F9">
        <w:rPr>
          <w:rFonts w:eastAsia="Times New Roman" w:cstheme="minorHAnsi"/>
          <w:lang w:val="el-GR" w:eastAsia="el-GR"/>
        </w:rPr>
        <w:t xml:space="preserve">ή όπου ορίσει η αναθέτουσα αρχή </w:t>
      </w:r>
      <w:r w:rsidR="009B5633">
        <w:rPr>
          <w:rFonts w:eastAsia="Times New Roman" w:cstheme="minorHAnsi"/>
          <w:lang w:val="el-GR" w:eastAsia="el-GR"/>
        </w:rPr>
        <w:t>στη Θεσσαλονίκη</w:t>
      </w:r>
      <w:r w:rsidR="00627D79" w:rsidRPr="00D806F9">
        <w:rPr>
          <w:rFonts w:eastAsia="Times New Roman" w:cstheme="minorHAnsi"/>
          <w:lang w:val="el-GR" w:eastAsia="el-GR"/>
        </w:rPr>
        <w:t>.</w:t>
      </w:r>
    </w:p>
    <w:p w14:paraId="5CF73E9B" w14:textId="286E4228" w:rsidR="00AC244C" w:rsidRDefault="00541268" w:rsidP="00D806F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val="el-GR" w:eastAsia="el-GR"/>
        </w:rPr>
      </w:pPr>
      <w:r w:rsidRPr="00D806F9">
        <w:rPr>
          <w:rFonts w:eastAsia="Times New Roman" w:cstheme="minorHAnsi"/>
          <w:lang w:val="el-GR" w:eastAsia="el-GR"/>
        </w:rPr>
        <w:t xml:space="preserve">Σε περίπτωση </w:t>
      </w:r>
      <w:r w:rsidR="00627D79" w:rsidRPr="00D806F9">
        <w:rPr>
          <w:rFonts w:eastAsia="Times New Roman" w:cstheme="minorHAnsi"/>
          <w:lang w:val="el-GR" w:eastAsia="el-GR"/>
        </w:rPr>
        <w:t xml:space="preserve">παραλαβής ελαττωματικών </w:t>
      </w:r>
      <w:r w:rsidRPr="00D806F9">
        <w:rPr>
          <w:rFonts w:eastAsia="Times New Roman" w:cstheme="minorHAnsi"/>
          <w:lang w:val="el-GR" w:eastAsia="el-GR"/>
        </w:rPr>
        <w:t xml:space="preserve"> ειδών </w:t>
      </w:r>
      <w:r w:rsidR="00627D79" w:rsidRPr="00D806F9">
        <w:rPr>
          <w:rFonts w:eastAsia="Times New Roman" w:cstheme="minorHAnsi"/>
          <w:lang w:val="el-GR" w:eastAsia="el-GR"/>
        </w:rPr>
        <w:t>κατά την παράδοση</w:t>
      </w:r>
      <w:r w:rsidRPr="00D806F9">
        <w:rPr>
          <w:rFonts w:eastAsia="Times New Roman" w:cstheme="minorHAnsi"/>
          <w:lang w:val="el-GR" w:eastAsia="el-GR"/>
        </w:rPr>
        <w:t xml:space="preserve"> ο προμηθευτής υποχρεούται </w:t>
      </w:r>
      <w:r w:rsidR="00627D79" w:rsidRPr="00D806F9">
        <w:rPr>
          <w:rFonts w:eastAsia="Times New Roman" w:cstheme="minorHAnsi"/>
          <w:lang w:val="el-GR" w:eastAsia="el-GR"/>
        </w:rPr>
        <w:t>στην</w:t>
      </w:r>
      <w:r w:rsidRPr="00D806F9">
        <w:rPr>
          <w:rFonts w:eastAsia="Times New Roman" w:cstheme="minorHAnsi"/>
          <w:lang w:val="el-GR" w:eastAsia="el-GR"/>
        </w:rPr>
        <w:t xml:space="preserve"> </w:t>
      </w:r>
      <w:r w:rsidR="00627D79" w:rsidRPr="00D806F9">
        <w:rPr>
          <w:rFonts w:eastAsia="Times New Roman" w:cstheme="minorHAnsi"/>
          <w:lang w:val="el-GR" w:eastAsia="el-GR"/>
        </w:rPr>
        <w:t xml:space="preserve">αντικατάστασή τους, </w:t>
      </w:r>
      <w:r w:rsidRPr="00D806F9">
        <w:rPr>
          <w:rFonts w:eastAsia="Times New Roman" w:cstheme="minorHAnsi"/>
          <w:lang w:val="el-GR" w:eastAsia="el-GR"/>
        </w:rPr>
        <w:t>με είδη αντίστοιχης ποιότητας και χρήση</w:t>
      </w:r>
      <w:r w:rsidR="00627D79" w:rsidRPr="00D806F9">
        <w:rPr>
          <w:rFonts w:eastAsia="Times New Roman" w:cstheme="minorHAnsi"/>
          <w:lang w:val="el-GR"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1F3A" w14:textId="77777777" w:rsidR="004B7431" w:rsidRDefault="004B7431" w:rsidP="00C82E32">
      <w:pPr>
        <w:spacing w:after="0" w:line="240" w:lineRule="auto"/>
      </w:pPr>
      <w:r>
        <w:separator/>
      </w:r>
    </w:p>
  </w:endnote>
  <w:endnote w:type="continuationSeparator" w:id="0">
    <w:p w14:paraId="30B9E896" w14:textId="77777777" w:rsidR="004B7431" w:rsidRDefault="004B743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BBAA" w14:textId="77777777" w:rsidR="004B7431" w:rsidRDefault="004B7431" w:rsidP="00C82E32">
      <w:pPr>
        <w:spacing w:after="0" w:line="240" w:lineRule="auto"/>
      </w:pPr>
      <w:r>
        <w:separator/>
      </w:r>
    </w:p>
  </w:footnote>
  <w:footnote w:type="continuationSeparator" w:id="0">
    <w:p w14:paraId="79FE845F" w14:textId="77777777" w:rsidR="004B7431" w:rsidRDefault="004B7431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1804AE" w:rsidRPr="00A46503" w14:paraId="294C5F6D" w14:textId="77777777" w:rsidTr="00F71A17">
      <w:trPr>
        <w:trHeight w:val="998"/>
      </w:trPr>
      <w:tc>
        <w:tcPr>
          <w:tcW w:w="2244" w:type="dxa"/>
        </w:tcPr>
        <w:p w14:paraId="33B5EB85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65192368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71F592E4" wp14:editId="75111ACD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107041AC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D9424BF" w14:textId="77777777" w:rsidR="001804AE" w:rsidRPr="00BC1FEC" w:rsidRDefault="001804AE" w:rsidP="001804AE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752953D" w14:textId="77777777" w:rsidR="001804AE" w:rsidRPr="00BC1FEC" w:rsidRDefault="001804AE" w:rsidP="001804AE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6344DE8" w14:textId="77777777" w:rsidR="001804AE" w:rsidRPr="00B578FF" w:rsidRDefault="001804AE" w:rsidP="001804AE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0F9D83CB" w14:textId="77777777" w:rsidR="001804AE" w:rsidRPr="00BC1FEC" w:rsidRDefault="001804AE" w:rsidP="001804AE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28D5B34D" w14:textId="77777777" w:rsidR="001804AE" w:rsidRPr="00A46503" w:rsidRDefault="001804AE" w:rsidP="001804AE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1B4AEE50" w14:textId="5E943A31" w:rsidR="004E3F2E" w:rsidRPr="00C82E32" w:rsidRDefault="001804AE" w:rsidP="0051511D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4D8952DD" wp14:editId="1C615F5D">
          <wp:simplePos x="0" y="0"/>
          <wp:positionH relativeFrom="column">
            <wp:posOffset>-771194</wp:posOffset>
          </wp:positionH>
          <wp:positionV relativeFrom="paragraph">
            <wp:posOffset>-866748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5227E" w14:textId="77777777" w:rsidR="004E3F2E" w:rsidRDefault="004E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7D9E"/>
    <w:rsid w:val="00051D06"/>
    <w:rsid w:val="0005503C"/>
    <w:rsid w:val="00055799"/>
    <w:rsid w:val="0008130B"/>
    <w:rsid w:val="00083BFB"/>
    <w:rsid w:val="0008425B"/>
    <w:rsid w:val="00085088"/>
    <w:rsid w:val="000A6BB9"/>
    <w:rsid w:val="000B1ADB"/>
    <w:rsid w:val="000E0786"/>
    <w:rsid w:val="000E323B"/>
    <w:rsid w:val="000E5159"/>
    <w:rsid w:val="000F235C"/>
    <w:rsid w:val="000F3F77"/>
    <w:rsid w:val="00106B8D"/>
    <w:rsid w:val="0012394F"/>
    <w:rsid w:val="00131E87"/>
    <w:rsid w:val="0015217D"/>
    <w:rsid w:val="00152346"/>
    <w:rsid w:val="001804AE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5A18"/>
    <w:rsid w:val="00347583"/>
    <w:rsid w:val="00355970"/>
    <w:rsid w:val="00360061"/>
    <w:rsid w:val="00392F5F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14F3B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80B26"/>
    <w:rsid w:val="004810BC"/>
    <w:rsid w:val="0048698D"/>
    <w:rsid w:val="004B7431"/>
    <w:rsid w:val="004C10A9"/>
    <w:rsid w:val="004C15D0"/>
    <w:rsid w:val="004C4B17"/>
    <w:rsid w:val="004D073D"/>
    <w:rsid w:val="004E38FB"/>
    <w:rsid w:val="004E3F2E"/>
    <w:rsid w:val="004F2995"/>
    <w:rsid w:val="0051511D"/>
    <w:rsid w:val="005162E9"/>
    <w:rsid w:val="00537582"/>
    <w:rsid w:val="00541268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229B"/>
    <w:rsid w:val="005E5007"/>
    <w:rsid w:val="005E7C94"/>
    <w:rsid w:val="005F2F8E"/>
    <w:rsid w:val="00606CF3"/>
    <w:rsid w:val="006240C0"/>
    <w:rsid w:val="00624D8D"/>
    <w:rsid w:val="00627D79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D081F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1DEA"/>
    <w:rsid w:val="007D40CA"/>
    <w:rsid w:val="007F6D3F"/>
    <w:rsid w:val="00834B4C"/>
    <w:rsid w:val="00840338"/>
    <w:rsid w:val="008557C1"/>
    <w:rsid w:val="008570F8"/>
    <w:rsid w:val="00860897"/>
    <w:rsid w:val="008635B9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269B"/>
    <w:rsid w:val="009A7869"/>
    <w:rsid w:val="009B5633"/>
    <w:rsid w:val="009B7238"/>
    <w:rsid w:val="009C04AA"/>
    <w:rsid w:val="009C350E"/>
    <w:rsid w:val="009E284C"/>
    <w:rsid w:val="009E6125"/>
    <w:rsid w:val="009F01D7"/>
    <w:rsid w:val="009F0713"/>
    <w:rsid w:val="00A11886"/>
    <w:rsid w:val="00A30D67"/>
    <w:rsid w:val="00A64AFA"/>
    <w:rsid w:val="00A66DA7"/>
    <w:rsid w:val="00A73E14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437A4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2EF1"/>
    <w:rsid w:val="00D46133"/>
    <w:rsid w:val="00D501E6"/>
    <w:rsid w:val="00D50F18"/>
    <w:rsid w:val="00D532E4"/>
    <w:rsid w:val="00D55E56"/>
    <w:rsid w:val="00D666EF"/>
    <w:rsid w:val="00D7133D"/>
    <w:rsid w:val="00D77C67"/>
    <w:rsid w:val="00D8001A"/>
    <w:rsid w:val="00D80344"/>
    <w:rsid w:val="00D806F9"/>
    <w:rsid w:val="00D91520"/>
    <w:rsid w:val="00D94A17"/>
    <w:rsid w:val="00DA0B98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35</cp:revision>
  <dcterms:created xsi:type="dcterms:W3CDTF">2021-04-16T09:16:00Z</dcterms:created>
  <dcterms:modified xsi:type="dcterms:W3CDTF">2021-05-05T10:29:00Z</dcterms:modified>
</cp:coreProperties>
</file>