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584B9930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872FC4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υλικών υδραυλικών εγκαταστάσεων και εγκαταστάσεων θέρμανσης</w:t>
      </w:r>
      <w:r w:rsidR="00872FC4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bookmarkEnd w:id="0"/>
      <w:r w:rsidR="00872FC4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στη Θεσσαλονίκη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840E6E" w:rsidRPr="00840E6E">
        <w:rPr>
          <w:rFonts w:eastAsia="Times New Roman" w:cstheme="minorHAnsi"/>
          <w:b/>
          <w:bCs/>
          <w:bdr w:val="none" w:sz="0" w:space="0" w:color="auto" w:frame="1"/>
          <w:lang w:eastAsia="el-GR"/>
        </w:rPr>
        <w:t>7.199,20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χωρίς ΦΠΑ και </w:t>
      </w:r>
      <w:r w:rsidR="00840E6E" w:rsidRPr="00840E6E">
        <w:rPr>
          <w:rFonts w:eastAsia="Times New Roman" w:cstheme="minorHAnsi"/>
          <w:b/>
          <w:bCs/>
          <w:bdr w:val="none" w:sz="0" w:space="0" w:color="auto" w:frame="1"/>
          <w:lang w:eastAsia="el-GR"/>
        </w:rPr>
        <w:t>8.927,01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00397E6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καταθέτει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0F36F081" w14:textId="596E46C6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</w:p>
    <w:p w14:paraId="63415DE9" w14:textId="27A228AA" w:rsidR="00092813" w:rsidRPr="00092813" w:rsidRDefault="00092813" w:rsidP="0009281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 w:rsidR="009B723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ποσοτήτων.</w:t>
      </w:r>
    </w:p>
    <w:p w14:paraId="49B54F1E" w14:textId="4E5663D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67409DE0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στη Θεσσαλονίκη.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2606D10E" w:rsidR="00541268" w:rsidRPr="00E262F3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092813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924"/>
        <w:gridCol w:w="909"/>
        <w:gridCol w:w="1026"/>
        <w:gridCol w:w="1664"/>
        <w:gridCol w:w="1345"/>
      </w:tblGrid>
      <w:tr w:rsidR="000F7D5B" w:rsidRPr="009E0D31" w14:paraId="729C3D2F" w14:textId="77777777" w:rsidTr="002F73F8">
        <w:trPr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AF88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ΘΕΣΣΑΛΟΝΙΚΗ</w:t>
            </w:r>
          </w:p>
        </w:tc>
      </w:tr>
      <w:tr w:rsidR="000F7D5B" w:rsidRPr="009E0D31" w14:paraId="3AD3D737" w14:textId="77777777" w:rsidTr="002F73F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4297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86C2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A534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AE58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522A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E03C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 ΑΝΕΥ  ΦΠΑ</w:t>
            </w:r>
          </w:p>
        </w:tc>
      </w:tr>
      <w:tr w:rsidR="000F7D5B" w:rsidRPr="009E0D31" w14:paraId="2649035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41E7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0972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ΜΠΑΤΑΡΙΕΣ ΜΠΑΝΙΕΡΑΣ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2FBA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CD24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C498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20.80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EC35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504E4F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25B4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3920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ΜΟΝΗ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4C51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AF5C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494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233A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6BE8A6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F9F6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338E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πάνω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B449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26D8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0C1B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5468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DCA48C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1169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D8D0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κάτω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8396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376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012E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11EE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3B0C26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5C24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AA6B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A5F4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5BB0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4B0A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22.00 €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A61A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33214B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E733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796C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ΓΕΦΥΡΑ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FD27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A035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EC77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8110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6E93A38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225F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690D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ΚΟΥΖΙΝΑΣ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FD02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1B45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930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6269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750.00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C25C3D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489A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23E1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ΒΡΥΣΗ ΦΥΤΕΥΤΗ </w:t>
            </w:r>
            <w:proofErr w:type="spell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Picollo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3B69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0A35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6E3F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4971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41E40B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80C6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1268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ΜΠΑΛΚΟΝΙΟΥ ΠΡΑΣΙΝΗ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F279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D8D1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A73A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3FF1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AD9E6A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962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D4E2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ΔΙΑΚΟΠΤΑΚΙΑ ΓΩΝΙΑΚΑ ½ / ½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CD4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505F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3788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2AC5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DCCE12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2BA8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BDFA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ΓΩΝΙΑΚΑ ½ / 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F220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9D1E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6063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89B5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DD93D3E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7638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0EB8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ΑΠΛΑ ΚΟΚΚΙΝΑ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9A06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C100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07AC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2.20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2AC5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B8D4F7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F7EF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6A4E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ΔΙΑΚΟΠΤΑΚΙΑ ΑΠΛΑ ΜΠΛΕ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1A76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F368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C211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EBB8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C7CCC8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2F244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FCF0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4FB9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5438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39D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3652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BE8FE4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E5F4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B298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ΤΗΛΕΦΩΝΑ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3D82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778E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5122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52CE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6F2812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09C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E7A0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ΔΙΠΛΟ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C554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1675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6D59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DD3C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7F68B5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118A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A5DB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AC43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5964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02A25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9E1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86DDEC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C8DD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9D63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B811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39D3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3A66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4235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5952ED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9893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29B1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ΜΕΓΑΛΕΣ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38D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C302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00E8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A1A0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159.00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F23147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400E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4246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ΜΙΚΡΕΣ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4F52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ED26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BB54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1.90 €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748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57.00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7FBAA6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46CC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EB2F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ΠΑΡΟΧΗΣ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30473F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6CE09F9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7692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3469DC6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9301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6ADF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C746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238AA2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720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C396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33F1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  <w:p w14:paraId="59676BC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EB41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0C24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0,50€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A26D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70.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3210C2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12C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018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3DF15C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5D50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AB85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ΑΠΟΧΕΤΕΥΣΗΣ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  <w:p w14:paraId="20D0094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67FFB61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962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15327FE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C2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B387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26C4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05B1807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B364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EB0E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4E5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2,50 €</w:t>
            </w:r>
          </w:p>
          <w:p w14:paraId="4D04CF4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69A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2E2F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0,50€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B1F9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59388EB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8FE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F29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368E9C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3FA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E77C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ΠΡΟΕΚΤΑΣΗ 5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55D9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3427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9B17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9DAB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E452F4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CAFA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BCDB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ΠΡΟΕΚΤΑΣΗ  5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FF84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41C3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C8B0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4.60 €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E8C3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92.00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B30A1C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3DB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C87D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½  ΑΡΣΕΝΙΚΕΣ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4474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F588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3A51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0.40 €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1DEE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DCF90B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A232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E4932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ΘΥΛΗΚΕΣ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DE0C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6546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06F7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0509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433EBE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04FC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0F96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ΑΡΣΕΝΙΚΕΣ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BDCB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F80E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19DC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F809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65FB534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DE3B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5EBC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ΤΑΠΕΣ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ΘΥΛΗΚΕΣ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2F45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5105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0A5C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0.60 €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5C59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F34875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6C7E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08F9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ΜΟΥΦΕΣ ΓΑΛΒΑΝΙΖΕ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23CA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D722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09C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0.40 €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EA74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8C8270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8FD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0E3D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ΜΟΥΦΕΣ ΓΑΛΒΑΝΙΖΕ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2972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CEB3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C94E9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9B38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2.50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0EEBC5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DA56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F88A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ΝΙΠΕΛ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9806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EAE5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2A2F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0.40 €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3688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B4A12C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B5A3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02A2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ΝΙΠΕΛ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DC28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D97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39C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BC9D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994783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FD4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C168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ΥΓΡΟ ΑΠΟΦΡΑΞΗΣ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MELT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7FE5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4771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A7FE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8CD9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62704E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5C08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9063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ΣΙΤΕΣ ΓΙΑ ΜΠΑΝΙΕΡΑ πλαστικές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044E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0DC9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B51F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0.30 €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3502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6CF73A1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484E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BBAC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ΒΑΛΒΙΔΑ ΑΣΦΑΛΕΙΑΣ ΔΙΠΛΗ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A5AB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6C4E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D4C2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04E4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0782BB2B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CE88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0C72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5DE2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8E2C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0A6E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0.40 €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F2DF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6B1310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305B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EED9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D5E8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F012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C3F4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3BE1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ADF3AD1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2D93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426F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ΣΦΙΚΤΗΡΕΣ Ø125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7A1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F82E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E09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DFA7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31D267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0409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B94F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ΥΨΗΛΗΣ ΠΙΕΣΗΣ (ΘΕΡΜΟΜ.ΒΡΥΣΗΣ) ½ 40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E779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Ζεύγη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F783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36F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D6BC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F265AE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93CE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35BE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ΥΨΗΛΗΣ ΠΙΕΣΗΣ (ΘΕΡΜΟΜ.ΒΡΥΣΗΣ) ½ 30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9F79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Ζεύγη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C8F6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5848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A3E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5DFA77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B878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AED8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ΣΠΙΡΑΛ ½ / ½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INOX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Θ/Θ 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749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558A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74CA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43C7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5169450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8A06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F5CC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B6F65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53C5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90CE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FF8D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38.00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586B42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A65A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B7D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70cm.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A01D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6CAF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612D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EA90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FBB7BB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B054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55F7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 / ½ INOX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Θ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70cm.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C0B5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B911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94D8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3.20 €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04D1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BCC7CE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548F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DC5F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ΛΕΥΚΗ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137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EEDB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2F02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4047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3625332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0C04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E12A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ΔΙΑΦΑΝΗ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E71D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2824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D901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DFDE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DC8B83D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E7B8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6E0F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ΠΙΣΤΟΛΙΑ ΣΙΛΙΚΟΝΗΣ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1FAB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B154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CB28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A3F3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29EF7E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0D51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C113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PVC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ΤΑΥ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D9C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DA72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2EC4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0.80 €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EF02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71BE040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8C57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C9AC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PVC 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ΗΜΙΤΑΥ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A57A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71D9B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9395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0.80 €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9708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72C5E50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CF0A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949C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ΣΥΣΤΟΛΗ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40/32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F3A1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4816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5900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0.60 €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44D0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918517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2B003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375E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TAY  Ø</w:t>
            </w:r>
            <w:proofErr w:type="gramEnd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EDC6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B6D0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2BC8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0.70 €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73AD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717614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A57D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9890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ΚΟΛΛΕΣ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PVC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9F5C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5D9C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6FCFD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5B90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E43C575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B11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BEE6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ΤΕΦΛΟΝ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61CD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D571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4132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0.25 €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ED52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0F44E9E6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AEB3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FD6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ΤΕΦΛΟΝ ΦΑΡΔΥ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8E8E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CA62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F597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843F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150.00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61F0354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DDDB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09CE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ΠΑΣΤΑ ΚΑΝΑΒΙ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07D2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DE0D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851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404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7.20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61E977E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952F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19E7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ΚΑΖΑΝΑΚΙΑ ΠΛΑΣΤΙΚΑ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8D39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D63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CDD9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CE3B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173.00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02936FE9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9428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98FE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ΜΗΧΑΝΙΣΜΟΙ (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SPEK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180F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DF9B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1EE4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EB2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34EE54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8FE1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84D9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ΜΙΚΡΟ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4674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BD49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294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757C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68113C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E9DF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02B3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ΜΕΓΑΛΟ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7705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DA7C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94B0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093C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2C25AE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089C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201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¾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4784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861D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DF3C1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0.05 €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1324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9EF3A83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647F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335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6422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3DE1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C7DC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0.05 €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268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0F2488BA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4903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CE1D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1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¼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B11C4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6661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89232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0.15 €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676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208CB44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E04C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A7C3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ΦΛΑΝΤΖΕΣ  1  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C4B1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93D3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D759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0.15 €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5E8B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34881E7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50ECE9C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2BD2276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ΠΟΛΥΣΤΡΩΜΑΤΙΚΗ ΣΩΛΗΝΑ Ø16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383F652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Μέτρα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731859D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shd w:val="clear" w:color="auto" w:fill="auto"/>
          </w:tcPr>
          <w:p w14:paraId="083C652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024CC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.00€</w:t>
            </w:r>
          </w:p>
        </w:tc>
      </w:tr>
      <w:tr w:rsidR="000F7D5B" w:rsidRPr="009E0D31" w14:paraId="19CCC09A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4FAC4E5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5334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7.1</w:t>
            </w:r>
            <w:r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99,20€</w:t>
            </w:r>
          </w:p>
        </w:tc>
      </w:tr>
      <w:tr w:rsidR="000F7D5B" w:rsidRPr="009E0D31" w14:paraId="39A66AA7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581F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7355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1.727,81</w:t>
            </w:r>
          </w:p>
        </w:tc>
      </w:tr>
      <w:tr w:rsidR="000F7D5B" w:rsidRPr="009E0D31" w14:paraId="372C8FD2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661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6E7E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8.927,01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34F5999B" w:rsidR="00CF5924" w:rsidRPr="0008425B" w:rsidRDefault="00CF5924" w:rsidP="00E83919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dr w:val="none" w:sz="0" w:space="0" w:color="auto" w:frame="1"/>
          <w:lang w:eastAsia="el-GR"/>
        </w:rPr>
        <w:t xml:space="preserve">Τα προς προμήθεια είδη θα παραδοθούν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στις μονάδες στέγασης αιτούντων διεθνούς προστασίας </w:t>
      </w:r>
      <w:r w:rsidR="0000078E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ή όπου ορίσει η αναθέτουσα αρχή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>στη Θεσσαλονίκη.</w:t>
      </w:r>
    </w:p>
    <w:p w14:paraId="5CF73E9B" w14:textId="18B3765A" w:rsidR="00AC244C" w:rsidRPr="00131E87" w:rsidRDefault="00541268" w:rsidP="00131E87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/>
          <w:lang w:eastAsia="el-GR"/>
        </w:rPr>
        <w:t xml:space="preserve">Σε περίπτωση </w:t>
      </w:r>
      <w:r w:rsidR="00627D79">
        <w:rPr>
          <w:rFonts w:eastAsia="Times New Roman" w:cstheme="minorHAnsi"/>
          <w:b/>
          <w:lang w:eastAsia="el-GR"/>
        </w:rPr>
        <w:t xml:space="preserve">παραλαβής ελαττωματικών </w:t>
      </w:r>
      <w:r w:rsidRPr="0008425B">
        <w:rPr>
          <w:rFonts w:eastAsia="Times New Roman" w:cstheme="minorHAnsi"/>
          <w:b/>
          <w:lang w:eastAsia="el-GR"/>
        </w:rPr>
        <w:t xml:space="preserve"> ειδών </w:t>
      </w:r>
      <w:r w:rsidR="00627D79">
        <w:rPr>
          <w:rFonts w:eastAsia="Times New Roman" w:cstheme="minorHAnsi"/>
          <w:b/>
          <w:lang w:eastAsia="el-GR"/>
        </w:rPr>
        <w:t>κατά την παράδοση</w:t>
      </w:r>
      <w:r w:rsidRPr="0008425B">
        <w:rPr>
          <w:rFonts w:eastAsia="Times New Roman" w:cstheme="minorHAnsi"/>
          <w:b/>
          <w:lang w:eastAsia="el-GR"/>
        </w:rPr>
        <w:t xml:space="preserve"> ο προμηθευτής υποχρεούται </w:t>
      </w:r>
      <w:r w:rsidR="00627D79">
        <w:rPr>
          <w:rFonts w:eastAsia="Times New Roman" w:cstheme="minorHAnsi"/>
          <w:b/>
          <w:lang w:eastAsia="el-GR"/>
        </w:rPr>
        <w:t>στην</w:t>
      </w:r>
      <w:r w:rsidRPr="0008425B">
        <w:rPr>
          <w:rFonts w:eastAsia="Times New Roman" w:cstheme="minorHAnsi"/>
          <w:b/>
          <w:lang w:eastAsia="el-GR"/>
        </w:rPr>
        <w:t xml:space="preserve"> </w:t>
      </w:r>
      <w:r w:rsidR="00627D79">
        <w:rPr>
          <w:rFonts w:eastAsia="Times New Roman" w:cstheme="minorHAnsi"/>
          <w:b/>
          <w:lang w:eastAsia="el-GR"/>
        </w:rPr>
        <w:t xml:space="preserve">αντικατάστασή τους, </w:t>
      </w:r>
      <w:r w:rsidRPr="0008425B">
        <w:rPr>
          <w:rFonts w:eastAsia="Times New Roman" w:cstheme="minorHAnsi"/>
          <w:b/>
          <w:lang w:eastAsia="el-GR"/>
        </w:rPr>
        <w:t>με είδη αντίστοιχης ποιότητας και χρήση</w:t>
      </w:r>
      <w:r w:rsidR="00627D79">
        <w:rPr>
          <w:rFonts w:eastAsia="Times New Roman" w:cstheme="minorHAnsi"/>
          <w:b/>
          <w:lang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05ED" w14:textId="77777777" w:rsidR="00A66442" w:rsidRDefault="00A66442" w:rsidP="00C82E32">
      <w:pPr>
        <w:spacing w:after="0" w:line="240" w:lineRule="auto"/>
      </w:pPr>
      <w:r>
        <w:separator/>
      </w:r>
    </w:p>
  </w:endnote>
  <w:endnote w:type="continuationSeparator" w:id="0">
    <w:p w14:paraId="11E45FC5" w14:textId="77777777" w:rsidR="00A66442" w:rsidRDefault="00A6644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9355" w14:textId="77777777" w:rsidR="00A66442" w:rsidRDefault="00A66442" w:rsidP="00C82E32">
      <w:pPr>
        <w:spacing w:after="0" w:line="240" w:lineRule="auto"/>
      </w:pPr>
      <w:r>
        <w:separator/>
      </w:r>
    </w:p>
  </w:footnote>
  <w:footnote w:type="continuationSeparator" w:id="0">
    <w:p w14:paraId="2046FB80" w14:textId="77777777" w:rsidR="00A66442" w:rsidRDefault="00A66442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045303" w:rsidRPr="00A46503" w14:paraId="44AFCBAB" w14:textId="77777777" w:rsidTr="00F71A17">
      <w:trPr>
        <w:trHeight w:val="998"/>
      </w:trPr>
      <w:tc>
        <w:tcPr>
          <w:tcW w:w="2244" w:type="dxa"/>
        </w:tcPr>
        <w:p w14:paraId="17E418D4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24992AE0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27252781" wp14:editId="5769452C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30E8D26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0049A002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238C1EDB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51887EE4" w14:textId="77777777" w:rsidR="00045303" w:rsidRPr="00B578FF" w:rsidRDefault="00045303" w:rsidP="00045303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7C78D60E" w14:textId="77777777" w:rsidR="00045303" w:rsidRPr="00BC1FEC" w:rsidRDefault="00045303" w:rsidP="00045303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B8C023" w14:textId="77777777" w:rsidR="00045303" w:rsidRPr="00A46503" w:rsidRDefault="00045303" w:rsidP="00045303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24A5227E" w14:textId="2824231B" w:rsidR="004E3F2E" w:rsidRPr="00045303" w:rsidRDefault="00045303" w:rsidP="00045303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0D638712" wp14:editId="35F78D40">
          <wp:simplePos x="0" y="0"/>
          <wp:positionH relativeFrom="column">
            <wp:posOffset>-516835</wp:posOffset>
          </wp:positionH>
          <wp:positionV relativeFrom="paragraph">
            <wp:posOffset>-962743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0E1A"/>
    <w:rsid w:val="00045303"/>
    <w:rsid w:val="00047D9E"/>
    <w:rsid w:val="00051D06"/>
    <w:rsid w:val="0005503C"/>
    <w:rsid w:val="00055799"/>
    <w:rsid w:val="0008130B"/>
    <w:rsid w:val="00083BFB"/>
    <w:rsid w:val="0008425B"/>
    <w:rsid w:val="00085088"/>
    <w:rsid w:val="00092813"/>
    <w:rsid w:val="000B1ADB"/>
    <w:rsid w:val="000E0786"/>
    <w:rsid w:val="000E323B"/>
    <w:rsid w:val="000E5159"/>
    <w:rsid w:val="000F235C"/>
    <w:rsid w:val="000F3F77"/>
    <w:rsid w:val="000F7D5B"/>
    <w:rsid w:val="00106B8D"/>
    <w:rsid w:val="00131E87"/>
    <w:rsid w:val="0015217D"/>
    <w:rsid w:val="00152346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7583"/>
    <w:rsid w:val="00355970"/>
    <w:rsid w:val="00360061"/>
    <w:rsid w:val="00382719"/>
    <w:rsid w:val="00392F5F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80B26"/>
    <w:rsid w:val="004810BC"/>
    <w:rsid w:val="0048698D"/>
    <w:rsid w:val="004C10A9"/>
    <w:rsid w:val="004C15D0"/>
    <w:rsid w:val="004C4B17"/>
    <w:rsid w:val="004D073D"/>
    <w:rsid w:val="004E38FB"/>
    <w:rsid w:val="004E3F2E"/>
    <w:rsid w:val="004F2995"/>
    <w:rsid w:val="0051511D"/>
    <w:rsid w:val="005162E9"/>
    <w:rsid w:val="00535999"/>
    <w:rsid w:val="00541268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5007"/>
    <w:rsid w:val="005E7C94"/>
    <w:rsid w:val="005F2F8E"/>
    <w:rsid w:val="00606CF3"/>
    <w:rsid w:val="006240C0"/>
    <w:rsid w:val="00624D8D"/>
    <w:rsid w:val="00627D79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40CA"/>
    <w:rsid w:val="007F6D3F"/>
    <w:rsid w:val="00834B4C"/>
    <w:rsid w:val="00840338"/>
    <w:rsid w:val="00840E6E"/>
    <w:rsid w:val="008557C1"/>
    <w:rsid w:val="008570F8"/>
    <w:rsid w:val="00860897"/>
    <w:rsid w:val="008635B9"/>
    <w:rsid w:val="00872FC4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7869"/>
    <w:rsid w:val="009B7238"/>
    <w:rsid w:val="009B7239"/>
    <w:rsid w:val="009C04AA"/>
    <w:rsid w:val="009C350E"/>
    <w:rsid w:val="009E284C"/>
    <w:rsid w:val="009E6125"/>
    <w:rsid w:val="009F01D7"/>
    <w:rsid w:val="009F0713"/>
    <w:rsid w:val="00A11886"/>
    <w:rsid w:val="00A304C4"/>
    <w:rsid w:val="00A30D67"/>
    <w:rsid w:val="00A64AFA"/>
    <w:rsid w:val="00A66442"/>
    <w:rsid w:val="00A66DA7"/>
    <w:rsid w:val="00A73E14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6133"/>
    <w:rsid w:val="00D532E4"/>
    <w:rsid w:val="00D55E56"/>
    <w:rsid w:val="00D666EF"/>
    <w:rsid w:val="00D7133D"/>
    <w:rsid w:val="00D77C67"/>
    <w:rsid w:val="00D8001A"/>
    <w:rsid w:val="00D91520"/>
    <w:rsid w:val="00D94A17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  <w:style w:type="paragraph" w:customStyle="1" w:styleId="TableContents">
    <w:name w:val="Table Contents"/>
    <w:basedOn w:val="Normal"/>
    <w:qFormat/>
    <w:rsid w:val="000F7D5B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5</cp:revision>
  <dcterms:created xsi:type="dcterms:W3CDTF">2021-06-04T07:33:00Z</dcterms:created>
  <dcterms:modified xsi:type="dcterms:W3CDTF">2021-06-08T07:17:00Z</dcterms:modified>
</cp:coreProperties>
</file>